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99" w:rsidRPr="00831B99" w:rsidRDefault="00831B99" w:rsidP="00831B99">
      <w:pPr>
        <w:pStyle w:val="a4"/>
        <w:numPr>
          <w:ilvl w:val="0"/>
          <w:numId w:val="1"/>
        </w:numPr>
        <w:spacing w:after="120" w:line="300" w:lineRule="atLeast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Стратегический метод управления рисками, который в отношении кредитного риска реализуется путем совершения операций </w:t>
      </w:r>
      <w:proofErr w:type="gramStart"/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</w:t>
      </w:r>
      <w:proofErr w:type="gramEnd"/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кредитными </w:t>
      </w:r>
      <w:proofErr w:type="spellStart"/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деривативами</w:t>
      </w:r>
      <w:proofErr w:type="spellEnd"/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диверсификация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7" w:name="DefaultOcxName1" w:shapeid="_x0000_i1035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хеджирование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5" o:title=""/>
          </v:shape>
          <w:control r:id="rId8" w:name="DefaultOcxName2" w:shapeid="_x0000_i1034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самострахование</w:t>
      </w:r>
    </w:p>
    <w:p w:rsid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5" o:title=""/>
          </v:shape>
          <w:control r:id="rId9" w:name="DefaultOcxName3" w:shapeid="_x0000_i1033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факторинг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Финансовый коэффициент, который имеет наибольшее информативное значение для банка, оценивающего кредитоспособность потенциального заемщика</w:t>
      </w:r>
      <w:r w:rsidR="00B800FE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gramStart"/>
      <w:r w:rsidRPr="00831B99">
        <w:rPr>
          <w:rFonts w:ascii="Arial" w:hAnsi="Arial" w:cs="Arial"/>
          <w:color w:val="3D3D3D"/>
          <w:sz w:val="21"/>
          <w:szCs w:val="21"/>
        </w:rPr>
        <w:t>-ю</w:t>
      </w:r>
      <w:proofErr w:type="gramEnd"/>
      <w:r w:rsidRPr="00831B99">
        <w:rPr>
          <w:rFonts w:ascii="Arial" w:hAnsi="Arial" w:cs="Arial"/>
          <w:color w:val="3D3D3D"/>
          <w:sz w:val="21"/>
          <w:szCs w:val="21"/>
        </w:rPr>
        <w:t>ридического лица: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6" type="#_x0000_t75" style="width:20.25pt;height:18pt" o:ole="">
            <v:imagedata r:id="rId5" o:title=""/>
          </v:shape>
          <w:control r:id="rId10" w:name="DefaultOcxName4" w:shapeid="_x0000_i1076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абсолютной ликвидности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5" type="#_x0000_t75" style="width:20.25pt;height:18pt" o:ole="">
            <v:imagedata r:id="rId5" o:title=""/>
          </v:shape>
          <w:control r:id="rId11" w:name="DefaultOcxName11" w:shapeid="_x0000_i1075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финансовой независимости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4" type="#_x0000_t75" style="width:20.25pt;height:18pt" o:ole="">
            <v:imagedata r:id="rId5" o:title=""/>
          </v:shape>
          <w:control r:id="rId12" w:name="DefaultOcxName21" w:shapeid="_x0000_i1074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покрытия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3" type="#_x0000_t75" style="width:20.25pt;height:18pt" o:ole="">
            <v:imagedata r:id="rId5" o:title=""/>
          </v:shape>
          <w:control r:id="rId13" w:name="DefaultOcxName31" w:shapeid="_x0000_i1073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текущей ликвидности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3.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Стратегический метод управления рисками, который в отношении кредитного риска реализуется путем анализа кредитоспособности клиента-заемщика: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8" type="#_x0000_t75" style="width:20.25pt;height:18pt" o:ole="">
            <v:imagedata r:id="rId5" o:title=""/>
          </v:shape>
          <w:control r:id="rId14" w:name="DefaultOcxName5" w:shapeid="_x0000_i1088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избегание убытка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7" type="#_x0000_t75" style="width:20.25pt;height:18pt" o:ole="">
            <v:imagedata r:id="rId5" o:title=""/>
          </v:shape>
          <w:control r:id="rId15" w:name="DefaultOcxName12" w:shapeid="_x0000_i1087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принятие риска на себя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6" type="#_x0000_t75" style="width:20.25pt;height:18pt" o:ole="">
            <v:imagedata r:id="rId5" o:title=""/>
          </v:shape>
          <w:control r:id="rId16" w:name="DefaultOcxName22" w:shapeid="_x0000_i1086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уклонение от риска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5" type="#_x0000_t75" style="width:20.25pt;height:18pt" o:ole="">
            <v:imagedata r:id="rId5" o:title=""/>
          </v:shape>
          <w:control r:id="rId17" w:name="DefaultOcxName32" w:shapeid="_x0000_i1085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самострахование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4.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gramStart"/>
      <w:r w:rsidRPr="00831B99">
        <w:rPr>
          <w:rFonts w:ascii="Arial" w:hAnsi="Arial" w:cs="Arial"/>
          <w:color w:val="3D3D3D"/>
          <w:sz w:val="21"/>
          <w:szCs w:val="21"/>
        </w:rPr>
        <w:t>Показатель</w:t>
      </w:r>
      <w:proofErr w:type="gramEnd"/>
      <w:r w:rsidRPr="00831B99">
        <w:rPr>
          <w:rFonts w:ascii="Arial" w:hAnsi="Arial" w:cs="Arial"/>
          <w:color w:val="3D3D3D"/>
          <w:sz w:val="21"/>
          <w:szCs w:val="21"/>
        </w:rPr>
        <w:t xml:space="preserve"> в балансе юридического лица прямо указывающий на наличие или отсутствие у него кредитного риска: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0" type="#_x0000_t75" style="width:20.25pt;height:18pt" o:ole="">
            <v:imagedata r:id="rId5" o:title=""/>
          </v:shape>
          <w:control r:id="rId18" w:name="DefaultOcxName6" w:shapeid="_x0000_i1100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кредиторская задолженность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25pt;height:18pt" o:ole="">
            <v:imagedata r:id="rId5" o:title=""/>
          </v:shape>
          <w:control r:id="rId19" w:name="DefaultOcxName13" w:shapeid="_x0000_i1099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отложенные налоговые обязательства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25pt;height:18pt" o:ole="">
            <v:imagedata r:id="rId5" o:title=""/>
          </v:shape>
          <w:control r:id="rId20" w:name="DefaultOcxName23" w:shapeid="_x0000_i1098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дебиторская задолженность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7" type="#_x0000_t75" style="width:20.25pt;height:18pt" o:ole="">
            <v:imagedata r:id="rId5" o:title=""/>
          </v:shape>
          <w:control r:id="rId21" w:name="DefaultOcxName33" w:shapeid="_x0000_i1097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кредиты и займы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5.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Процентный риск, оказывающий влияние на всех экономических субъектов: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22" w:name="DefaultOcxName7" w:shapeid="_x0000_i1112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экономический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23" w:name="DefaultOcxName14" w:shapeid="_x0000_i1111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изменения денежных потоков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24" w:name="DefaultOcxName24" w:shapeid="_x0000_i1110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арбитражный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25" w:name="DefaultOcxName34" w:shapeid="_x0000_i1109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портфельный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t>6.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Тактический метод, который следует использовать для минимизации процентного риска по портфелю облигаций: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4" type="#_x0000_t75" style="width:20.25pt;height:18pt" o:ole="">
            <v:imagedata r:id="rId5" o:title=""/>
          </v:shape>
          <w:control r:id="rId26" w:name="DefaultOcxName8" w:shapeid="_x0000_i1124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горизонтальный анализ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27" w:name="DefaultOcxName15" w:shapeid="_x0000_i1123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сдерживание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20.25pt;height:18pt" o:ole="">
            <v:imagedata r:id="rId5" o:title=""/>
          </v:shape>
          <w:control r:id="rId28" w:name="DefaultOcxName25" w:shapeid="_x0000_i1122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иммунизация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20.25pt;height:18pt" o:ole="">
            <v:imagedata r:id="rId5" o:title=""/>
          </v:shape>
          <w:control r:id="rId29" w:name="DefaultOcxName35" w:shapeid="_x0000_i1121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покупка до погашения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7.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Стратегический метод, который реализуется в отношении процентного риска путем заключения форвардных контрактов на процентную ставку (FRA):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30" w:name="DefaultOcxName9" w:shapeid="_x0000_i1136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эффективной границы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31" w:name="DefaultOcxName16" w:shapeid="_x0000_i1135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хеджирование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32" w:name="DefaultOcxName26" w:shapeid="_x0000_i1134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самострахование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33" w:name="DefaultOcxName36" w:shapeid="_x0000_i1133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диверсификация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8.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Группа рисков, к которой относятся инновационные риски: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5" o:title=""/>
          </v:shape>
          <w:control r:id="rId34" w:name="DefaultOcxName10" w:shapeid="_x0000_i1148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7" type="#_x0000_t75" style="width:20.25pt;height:18pt" o:ole="">
            <v:imagedata r:id="rId5" o:title=""/>
          </v:shape>
          <w:control r:id="rId35" w:name="DefaultOcxName17" w:shapeid="_x0000_i1147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селективные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5" o:title=""/>
          </v:shape>
          <w:control r:id="rId36" w:name="DefaultOcxName27" w:shapeid="_x0000_i1146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покупательной способности денег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5" o:title=""/>
          </v:shape>
          <w:control r:id="rId37" w:name="DefaultOcxName37" w:shapeid="_x0000_i1145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инвестиционные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Группа рисков, возникающих в инновационной деятельности, к которой относятся риски ошибочного выбора целевого сегмента рынка: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5" o:title=""/>
          </v:shape>
          <w:control r:id="rId38" w:name="DefaultOcxName19" w:shapeid="_x0000_i1160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снижения доходов и дополнительных затрат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5" o:title=""/>
          </v:shape>
          <w:control r:id="rId39" w:name="DefaultOcxName18" w:shapeid="_x0000_i1159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маркетинговые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40" w:name="DefaultOcxName28" w:shapeid="_x0000_i1158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ошибочного выбора инновационного проекта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41" w:name="DefaultOcxName38" w:shapeid="_x0000_i1157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усиления конкуренции</w:t>
      </w:r>
    </w:p>
    <w:p w:rsidR="00831B99" w:rsidRPr="00831B99" w:rsidRDefault="00831B99" w:rsidP="00831B99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10.</w:t>
      </w:r>
      <w:r w:rsidRPr="00831B99">
        <w:rPr>
          <w:rFonts w:ascii="Arial" w:hAnsi="Arial" w:cs="Arial"/>
          <w:color w:val="3D3D3D"/>
          <w:sz w:val="21"/>
          <w:szCs w:val="21"/>
        </w:rPr>
        <w:t xml:space="preserve"> Риски, которые возникают на стадии проведения НИОКР:</w:t>
      </w: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31B99" w:rsidRPr="00831B99" w:rsidRDefault="00831B99" w:rsidP="00831B9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2" type="#_x0000_t75" style="width:20.25pt;height:18pt" o:ole="">
            <v:imagedata r:id="rId5" o:title=""/>
          </v:shape>
          <w:control r:id="rId42" w:name="DefaultOcxName20" w:shapeid="_x0000_i1172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патентования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1" type="#_x0000_t75" style="width:20.25pt;height:18pt" o:ole="">
            <v:imagedata r:id="rId5" o:title=""/>
          </v:shape>
          <w:control r:id="rId43" w:name="DefaultOcxName110" w:shapeid="_x0000_i1171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экологические риски НИОКР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44" w:name="DefaultOcxName29" w:shapeid="_x0000_i1170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финансовые</w:t>
      </w:r>
    </w:p>
    <w:p w:rsidR="00831B99" w:rsidRPr="00831B99" w:rsidRDefault="00831B99" w:rsidP="00831B9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5" o:title=""/>
          </v:shape>
          <w:control r:id="rId45" w:name="DefaultOcxName39" w:shapeid="_x0000_i1169"/>
        </w:object>
      </w:r>
      <w:r w:rsidRPr="00831B9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неверного выбора направления исследования</w:t>
      </w:r>
    </w:p>
    <w:p w:rsidR="00081F3F" w:rsidRDefault="00081F3F" w:rsidP="00831B99">
      <w:pPr>
        <w:ind w:firstLine="0"/>
      </w:pPr>
    </w:p>
    <w:sectPr w:rsidR="00081F3F" w:rsidSect="000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8C4"/>
    <w:multiLevelType w:val="hybridMultilevel"/>
    <w:tmpl w:val="5A5C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99"/>
    <w:rsid w:val="00081F3F"/>
    <w:rsid w:val="008107D8"/>
    <w:rsid w:val="00831B99"/>
    <w:rsid w:val="00B8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1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7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6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7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6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9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7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4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7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2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8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50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61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8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1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2018-02-01T06:40:00Z</dcterms:created>
  <dcterms:modified xsi:type="dcterms:W3CDTF">2018-02-01T06:43:00Z</dcterms:modified>
</cp:coreProperties>
</file>