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47D" w:rsidRDefault="00F6247D" w:rsidP="00F6247D">
      <w:pPr>
        <w:pStyle w:val="Default"/>
      </w:pPr>
    </w:p>
    <w:p w:rsidR="00F6247D" w:rsidRDefault="00F6247D" w:rsidP="00F6247D">
      <w:pPr>
        <w:pStyle w:val="Default"/>
        <w:rPr>
          <w:sz w:val="22"/>
          <w:szCs w:val="22"/>
        </w:rPr>
      </w:pPr>
      <w:r>
        <w:t xml:space="preserve"> </w:t>
      </w:r>
      <w:r>
        <w:rPr>
          <w:sz w:val="22"/>
          <w:szCs w:val="22"/>
        </w:rPr>
        <w:t xml:space="preserve">Федеральное государственное бюджетное образовательное учреждение </w:t>
      </w:r>
    </w:p>
    <w:p w:rsidR="00F6247D" w:rsidRDefault="00F6247D" w:rsidP="00F6247D">
      <w:pPr>
        <w:pStyle w:val="Default"/>
        <w:rPr>
          <w:sz w:val="22"/>
          <w:szCs w:val="22"/>
        </w:rPr>
      </w:pPr>
      <w:r>
        <w:rPr>
          <w:sz w:val="22"/>
          <w:szCs w:val="22"/>
        </w:rPr>
        <w:t xml:space="preserve">высшего образования </w:t>
      </w:r>
    </w:p>
    <w:p w:rsidR="00F6247D" w:rsidRDefault="00F6247D" w:rsidP="00F6247D">
      <w:pPr>
        <w:pStyle w:val="Default"/>
        <w:rPr>
          <w:sz w:val="22"/>
          <w:szCs w:val="22"/>
        </w:rPr>
      </w:pPr>
      <w:r>
        <w:rPr>
          <w:sz w:val="22"/>
          <w:szCs w:val="22"/>
        </w:rPr>
        <w:t xml:space="preserve">«Новосибирский государственный технический университет» </w:t>
      </w:r>
    </w:p>
    <w:p w:rsidR="00F6247D" w:rsidRDefault="00F6247D" w:rsidP="00F6247D">
      <w:pPr>
        <w:pStyle w:val="Default"/>
        <w:rPr>
          <w:sz w:val="23"/>
          <w:szCs w:val="23"/>
        </w:rPr>
      </w:pPr>
      <w:r>
        <w:rPr>
          <w:sz w:val="23"/>
          <w:szCs w:val="23"/>
        </w:rPr>
        <w:t xml:space="preserve">Кафедра экономической теории и прикладной экономики </w:t>
      </w:r>
    </w:p>
    <w:p w:rsidR="00F6247D" w:rsidRDefault="00F6247D" w:rsidP="00F6247D">
      <w:pPr>
        <w:pStyle w:val="Default"/>
        <w:rPr>
          <w:sz w:val="28"/>
          <w:szCs w:val="28"/>
        </w:rPr>
      </w:pPr>
      <w:r>
        <w:rPr>
          <w:b/>
          <w:bCs/>
          <w:sz w:val="28"/>
          <w:szCs w:val="28"/>
        </w:rPr>
        <w:t xml:space="preserve">Паспорт контрольной работы </w:t>
      </w:r>
    </w:p>
    <w:p w:rsidR="00F6247D" w:rsidRDefault="00F6247D" w:rsidP="00F6247D">
      <w:pPr>
        <w:pStyle w:val="Default"/>
        <w:rPr>
          <w:sz w:val="23"/>
          <w:szCs w:val="23"/>
        </w:rPr>
      </w:pPr>
      <w:r>
        <w:rPr>
          <w:sz w:val="23"/>
          <w:szCs w:val="23"/>
        </w:rPr>
        <w:t xml:space="preserve">по дисциплине «Муниципальная экономика», 8 семестр </w:t>
      </w:r>
    </w:p>
    <w:p w:rsidR="00F6247D" w:rsidRDefault="00F6247D" w:rsidP="00F6247D">
      <w:pPr>
        <w:pStyle w:val="Default"/>
        <w:rPr>
          <w:sz w:val="23"/>
          <w:szCs w:val="23"/>
        </w:rPr>
      </w:pPr>
      <w:r>
        <w:rPr>
          <w:b/>
          <w:bCs/>
          <w:sz w:val="23"/>
          <w:szCs w:val="23"/>
        </w:rPr>
        <w:t xml:space="preserve">1. Методика оценки </w:t>
      </w:r>
    </w:p>
    <w:p w:rsidR="00F6247D" w:rsidRDefault="00F6247D" w:rsidP="00F6247D">
      <w:pPr>
        <w:pStyle w:val="Default"/>
        <w:rPr>
          <w:sz w:val="23"/>
          <w:szCs w:val="23"/>
        </w:rPr>
      </w:pPr>
    </w:p>
    <w:p w:rsidR="00F6247D" w:rsidRDefault="00F6247D" w:rsidP="00F6247D">
      <w:pPr>
        <w:pStyle w:val="Default"/>
        <w:rPr>
          <w:rFonts w:ascii="Time Roman" w:hAnsi="Time Roman" w:cs="Time Roman"/>
          <w:sz w:val="23"/>
          <w:szCs w:val="23"/>
        </w:rPr>
      </w:pPr>
      <w:r>
        <w:rPr>
          <w:rFonts w:ascii="Time Roman" w:hAnsi="Time Roman" w:cs="Time Roman"/>
          <w:sz w:val="23"/>
          <w:szCs w:val="23"/>
        </w:rPr>
        <w:t xml:space="preserve">Контрольная работа выполняется в форме письменного отчета, содержащего анализ социально-экономического развития муниципального образования. Целью работы являются получение студентом навыков самостоятельного анализа социально-экономического развития муниципального образования. </w:t>
      </w:r>
    </w:p>
    <w:p w:rsidR="00F6247D" w:rsidRDefault="00F6247D" w:rsidP="00F6247D">
      <w:pPr>
        <w:pStyle w:val="Default"/>
        <w:rPr>
          <w:rFonts w:ascii="Time Roman" w:hAnsi="Time Roman" w:cs="Time Roman"/>
          <w:sz w:val="23"/>
          <w:szCs w:val="23"/>
        </w:rPr>
      </w:pPr>
      <w:r>
        <w:rPr>
          <w:rFonts w:ascii="Time Roman" w:hAnsi="Time Roman" w:cs="Time Roman"/>
          <w:sz w:val="23"/>
          <w:szCs w:val="23"/>
        </w:rPr>
        <w:t xml:space="preserve">Тема контрольной работы: «Анализ социально-экономического развития (наименование муниципального образования)». Анализируемое муниципальное образование выбирается студентом самостоятельно и согласуется с преподавателем. Анализируемое муниципальное образование в пределах группы не должно повторяться. </w:t>
      </w:r>
    </w:p>
    <w:p w:rsidR="00F6247D" w:rsidRDefault="00F6247D" w:rsidP="00F6247D">
      <w:pPr>
        <w:pStyle w:val="Default"/>
        <w:rPr>
          <w:rFonts w:ascii="Time Roman" w:hAnsi="Time Roman" w:cs="Time Roman"/>
          <w:sz w:val="23"/>
          <w:szCs w:val="23"/>
        </w:rPr>
      </w:pPr>
      <w:r>
        <w:rPr>
          <w:rFonts w:ascii="Time Roman" w:hAnsi="Time Roman" w:cs="Time Roman"/>
          <w:sz w:val="23"/>
          <w:szCs w:val="23"/>
        </w:rPr>
        <w:t xml:space="preserve">Выбранная и согласованная с преподавателем тема должна быть достаточно полно раскрыта, сделаны выводы. Обязательно нужно указать список использованных источников и ссылки на источники данных по тексту работы. Информация по социально-экономическому развитию муниципального образования может быть получена из общероссийских и региональных статистических сборников, статей в периодических изданиях и источников интернет, в том числе предложенных в перечне литературы интернет-сайтов российских муниципалитетов. </w:t>
      </w:r>
    </w:p>
    <w:p w:rsidR="00F6247D" w:rsidRDefault="00F6247D" w:rsidP="00F6247D">
      <w:pPr>
        <w:pStyle w:val="Default"/>
        <w:rPr>
          <w:rFonts w:ascii="Time Roman" w:hAnsi="Time Roman" w:cs="Time Roman"/>
          <w:sz w:val="23"/>
          <w:szCs w:val="23"/>
        </w:rPr>
      </w:pPr>
      <w:r>
        <w:rPr>
          <w:rFonts w:ascii="Time Roman" w:hAnsi="Time Roman" w:cs="Time Roman"/>
          <w:sz w:val="23"/>
          <w:szCs w:val="23"/>
        </w:rPr>
        <w:t xml:space="preserve">Контрольная работа выполняется в виде творческой работы объемом 8-10 страниц, шрифт Times New Roman, через 1,5 интервала, высота шрифта – 14. </w:t>
      </w:r>
    </w:p>
    <w:p w:rsidR="00F6247D" w:rsidRDefault="00F6247D" w:rsidP="00F6247D">
      <w:pPr>
        <w:pStyle w:val="Default"/>
        <w:rPr>
          <w:rFonts w:ascii="Time Roman" w:hAnsi="Time Roman" w:cs="Time Roman"/>
          <w:sz w:val="22"/>
          <w:szCs w:val="22"/>
        </w:rPr>
      </w:pPr>
      <w:r>
        <w:rPr>
          <w:rFonts w:ascii="Time Roman" w:hAnsi="Time Roman" w:cs="Time Roman"/>
          <w:sz w:val="22"/>
          <w:szCs w:val="22"/>
        </w:rPr>
        <w:t xml:space="preserve">Цель проведения анализа социально-экономического положения муниципального образования – выявление тенденций, факторов, которые необходимо учитывать при определении перспектив развития, разработке политики по различным направлениям деятельности органов управления. На практике прогноз социально-экономического развития составляется ежегодно, и включает варианты сценариев развития и конкретные показатели поискового и целевого прогноза, а также плановые задания, связанные с использованием бюджетных средств. Для сбора информации используются «Унифицированная система показателей, характеризующих социально-экономическое положение муниципального образования», а также паспорта городов и других поселений, хозяйствующих субъектов, учреждений. Информация по социально-экономическому развитию муниципального образования может быть получена из общероссийских и региональных статистических сборников, статей в периодических изданиях и источников интернет, в том числе предложенных в перечне литератур интернет-сайтов российских муниципалитетов. </w:t>
      </w:r>
    </w:p>
    <w:p w:rsidR="00F6247D" w:rsidRDefault="00F6247D" w:rsidP="00F6247D">
      <w:pPr>
        <w:pStyle w:val="Default"/>
        <w:rPr>
          <w:rFonts w:ascii="Time Roman" w:hAnsi="Time Roman" w:cs="Time Roman"/>
          <w:sz w:val="23"/>
          <w:szCs w:val="23"/>
        </w:rPr>
      </w:pPr>
      <w:r>
        <w:rPr>
          <w:rFonts w:ascii="Time Roman" w:hAnsi="Time Roman" w:cs="Time Roman"/>
          <w:sz w:val="23"/>
          <w:szCs w:val="23"/>
        </w:rPr>
        <w:t xml:space="preserve">В ходе работы студент самостоятельно выбирает и подробно анализирует ОДНУ из предложенных 12-ти сфер: </w:t>
      </w:r>
    </w:p>
    <w:p w:rsidR="00F6247D" w:rsidRDefault="00F6247D" w:rsidP="00F6247D">
      <w:pPr>
        <w:pStyle w:val="Default"/>
        <w:rPr>
          <w:rFonts w:ascii="Time Roman" w:hAnsi="Time Roman" w:cs="Time Roman"/>
          <w:sz w:val="23"/>
          <w:szCs w:val="23"/>
        </w:rPr>
      </w:pPr>
      <w:r>
        <w:rPr>
          <w:rFonts w:ascii="Time Roman" w:hAnsi="Time Roman" w:cs="Time Roman"/>
          <w:sz w:val="23"/>
          <w:szCs w:val="23"/>
        </w:rPr>
        <w:t xml:space="preserve">1) Развитие отраслей материального производства: оцениваются состояние и динамика экономических параметров по предприятиям (объемы производства и реализации, темпы роста, кадры, финансовое положение и т.д.). В случаях выявления депрессивности требуется поиск путей восстановления предприятий, перепрофилирования, освоения новых изделий с учетом потребностей рынка. </w:t>
      </w:r>
    </w:p>
    <w:p w:rsidR="00F6247D" w:rsidRDefault="00F6247D" w:rsidP="00F6247D">
      <w:pPr>
        <w:pStyle w:val="Default"/>
        <w:rPr>
          <w:rFonts w:ascii="Time Roman" w:hAnsi="Time Roman" w:cs="Time Roman"/>
          <w:sz w:val="23"/>
          <w:szCs w:val="23"/>
        </w:rPr>
      </w:pPr>
      <w:r>
        <w:rPr>
          <w:rFonts w:ascii="Time Roman" w:hAnsi="Time Roman" w:cs="Time Roman"/>
          <w:sz w:val="23"/>
          <w:szCs w:val="23"/>
        </w:rPr>
        <w:t xml:space="preserve">Выпуск промышленной продукции определяется в натуральных единицах и в ценах производителей (оптовых ценах предприятий). Учитываются предусмотренные в программах развития промышленности субъекта РФ показатели по предприятиям на территории муниципального образования. Индекс физического объема промышленной продукции рассчитывается по методике, утвержденной Госкомстатом РФ. Выпуск в </w:t>
      </w:r>
    </w:p>
    <w:p w:rsidR="00F6247D" w:rsidRDefault="00F6247D" w:rsidP="00F6247D">
      <w:pPr>
        <w:pStyle w:val="Default"/>
        <w:pageBreakBefore/>
        <w:rPr>
          <w:rFonts w:ascii="Time Roman" w:hAnsi="Time Roman" w:cs="Time Roman"/>
          <w:sz w:val="23"/>
          <w:szCs w:val="23"/>
        </w:rPr>
      </w:pPr>
      <w:r>
        <w:rPr>
          <w:rFonts w:ascii="Time Roman" w:hAnsi="Time Roman" w:cs="Time Roman"/>
          <w:sz w:val="23"/>
          <w:szCs w:val="23"/>
        </w:rPr>
        <w:lastRenderedPageBreak/>
        <w:t xml:space="preserve">действующих ценах (без налога на добавленную стоимость и акциза) определяется умножением отчетных данных об объеме производства на индексы физического объема. </w:t>
      </w:r>
    </w:p>
    <w:p w:rsidR="00F6247D" w:rsidRDefault="00F6247D" w:rsidP="00F6247D">
      <w:pPr>
        <w:pStyle w:val="Default"/>
        <w:rPr>
          <w:rFonts w:ascii="Time Roman" w:hAnsi="Time Roman" w:cs="Time Roman"/>
          <w:sz w:val="22"/>
          <w:szCs w:val="22"/>
        </w:rPr>
      </w:pPr>
      <w:r>
        <w:rPr>
          <w:rFonts w:ascii="Time Roman" w:hAnsi="Time Roman" w:cs="Time Roman"/>
          <w:sz w:val="22"/>
          <w:szCs w:val="22"/>
        </w:rPr>
        <w:t xml:space="preserve">2) Развитие агропромышленного сектора: выявляются тенденции и изменения в структуре сельскохозяйственного производства как в целом, так и применительно к развитию сельскохозяйственных предприятий, фермерских и личных подсобных хозяйств по их доле в общем объеме производства сельскохозяйственной продукции, уровню товарности и специализации. Оценивается взаимодействие различных звеньев агропромышленного комплекса в области обеспечения сельскохозяйственной техникой и горюче-смазочными материалами, а также имеющиеся возможности сбыта, хранения и переработки сельскохозяйственной продукции, уровень продовольственной самообеспеченности муниципального образования и его возможностей по наращиванию производства и осуществлению внутренних и внешних поставок сельскохозяйственной продукции. </w:t>
      </w:r>
    </w:p>
    <w:p w:rsidR="00F6247D" w:rsidRDefault="00F6247D" w:rsidP="00F6247D">
      <w:pPr>
        <w:pStyle w:val="Default"/>
        <w:rPr>
          <w:rFonts w:ascii="Time Roman" w:hAnsi="Time Roman" w:cs="Time Roman"/>
          <w:sz w:val="22"/>
          <w:szCs w:val="22"/>
        </w:rPr>
      </w:pPr>
      <w:r>
        <w:rPr>
          <w:rFonts w:ascii="Time Roman" w:hAnsi="Time Roman" w:cs="Time Roman"/>
          <w:sz w:val="22"/>
          <w:szCs w:val="22"/>
        </w:rPr>
        <w:t xml:space="preserve">Оценка производства сельскохозяйственной продукции и сырья содержит показатели общего объема сырых продуктов растениеводства и животноводства, стоимость выращивания молодых многолетних насаждений до плодоносящего возраста, изменение объема незавершенного производства в земледелии. Переработанные продукты растениеводства и животноводства в валовую продукцию сельского хозяйства не включаются. Продукция сельского хозяйства исчисляется в сопоставимой оценке и в действующих ценах в целом по отрасли «сельское хозяйство», включая продукцию растениеводства и животноводства по производителям сельскохозяйственной продукции по всем категориям хозяйств. Объем производства сельскохозяйственной продукции по каждой категории хозяйств может определяться на основе имеющейся в органах государственной статистики информации. По общественным и фермерским хозяйствам используются базисные, ежегодные отчеты, а по личным подсобным хозяйствам – данные выборочных обследований на основе нормативного метода. </w:t>
      </w:r>
    </w:p>
    <w:p w:rsidR="00F6247D" w:rsidRDefault="00F6247D" w:rsidP="00F6247D">
      <w:pPr>
        <w:pStyle w:val="Default"/>
        <w:rPr>
          <w:rFonts w:ascii="Time Roman" w:hAnsi="Time Roman" w:cs="Time Roman"/>
          <w:sz w:val="22"/>
          <w:szCs w:val="22"/>
        </w:rPr>
      </w:pPr>
      <w:r>
        <w:rPr>
          <w:rFonts w:ascii="Time Roman" w:hAnsi="Time Roman" w:cs="Time Roman"/>
          <w:sz w:val="22"/>
          <w:szCs w:val="22"/>
        </w:rPr>
        <w:t xml:space="preserve">Продукция сельского хозяйства в сопоставимой оценке исчисляется в ценах предыдущего года. Этот показатель используется для характеристики динамики сельскохозяйственного производства. Культуры и продукты, которые в расчетах стоимости валовой продукции в сопоставимых ценах не обсчитываются отдельной строкой, включаются в стоимость валовой продукции в суммарном выражении как прочая продукция. Стоимость прочей продукции сельского хозяйства определяется на основе данных за последний отчетный год с учетом предполагаемого изменения в производстве этих продуктов по отношению к продукции, исчисляемой прямым счетом. Стоимость продукции в действующих ценах рассчитывается с применением инлексов-дефляторов цен реализации на растениеводческую и животноводческую продукцию. Поставки сельскохозяйственной продукции, сырья и продовольствия необходимы для государственных федеральных и региональных нужд, создания страховых фондов семян сельскохозяйственных культур, обеспечения собственных потребностей сельских товаропроизводителей в семенах, кормах, для продажи членам трудовых коллективов. При этом учитываются объемы производства, предусмотренные в федеральных, отраслевых и региональных программах развития агропромышленного производства, других экономических и социальных программах, направленных на снабжение населения продовольствием, а также для экспортных поставок сельскохозяйственной продукции, сырья и продовольствия, согласно заключенным договорам и обязательствам. </w:t>
      </w:r>
    </w:p>
    <w:p w:rsidR="00F6247D" w:rsidRDefault="00F6247D" w:rsidP="00F6247D">
      <w:pPr>
        <w:pStyle w:val="Default"/>
        <w:rPr>
          <w:rFonts w:ascii="Time Roman" w:hAnsi="Time Roman" w:cs="Time Roman"/>
          <w:sz w:val="23"/>
          <w:szCs w:val="23"/>
        </w:rPr>
      </w:pPr>
      <w:r>
        <w:rPr>
          <w:rFonts w:ascii="Time Roman" w:hAnsi="Time Roman" w:cs="Time Roman"/>
          <w:sz w:val="23"/>
          <w:szCs w:val="23"/>
        </w:rPr>
        <w:t xml:space="preserve">3) Развитие транспорта: оценка осуществляется по показателям перевозок и полученных доходов, по грузовым, пассажирским перевозкам, подсобной транспортной деятельности (погрузочно-разгрузочным работам, эксплуатации складских помещений и др.). </w:t>
      </w:r>
    </w:p>
    <w:p w:rsidR="00F6247D" w:rsidRDefault="00F6247D" w:rsidP="00F6247D">
      <w:pPr>
        <w:pStyle w:val="Default"/>
        <w:rPr>
          <w:rFonts w:ascii="Time Roman" w:hAnsi="Time Roman" w:cs="Time Roman"/>
          <w:sz w:val="23"/>
          <w:szCs w:val="23"/>
        </w:rPr>
      </w:pPr>
      <w:r>
        <w:rPr>
          <w:rFonts w:ascii="Time Roman" w:hAnsi="Time Roman" w:cs="Time Roman"/>
          <w:sz w:val="23"/>
          <w:szCs w:val="23"/>
        </w:rPr>
        <w:t xml:space="preserve">Развитие малых и средних предприятий на территории муниципального образования оценивается с точки зрения объемов производства, числа созданных на них рабочих мест, эффективности производства, налоговых поступлений в местный бюджет. Источником информации для анализа развития малого бизнеса и предпринимательства служат региональные и местные программы поддержки малого бизнеса, создания новых рабочих </w:t>
      </w:r>
    </w:p>
    <w:p w:rsidR="00F6247D" w:rsidRDefault="00F6247D" w:rsidP="00F6247D">
      <w:pPr>
        <w:pStyle w:val="Default"/>
        <w:pageBreakBefore/>
        <w:rPr>
          <w:rFonts w:ascii="Time Roman" w:hAnsi="Time Roman" w:cs="Time Roman"/>
          <w:sz w:val="23"/>
          <w:szCs w:val="23"/>
        </w:rPr>
      </w:pPr>
      <w:r>
        <w:rPr>
          <w:rFonts w:ascii="Time Roman" w:hAnsi="Time Roman" w:cs="Time Roman"/>
          <w:sz w:val="23"/>
          <w:szCs w:val="23"/>
        </w:rPr>
        <w:lastRenderedPageBreak/>
        <w:t xml:space="preserve">мест и содействия занятости населения и другие материалы. Одновременно принимаются во внимание те меры, которые предполагается предпринять для поддержки и развития малого бизнеса (совершенствование местной нормативной базы, предоставление помещений, ссуд и др.) </w:t>
      </w:r>
    </w:p>
    <w:p w:rsidR="00F6247D" w:rsidRDefault="00F6247D" w:rsidP="00F6247D">
      <w:pPr>
        <w:pStyle w:val="Default"/>
        <w:rPr>
          <w:rFonts w:ascii="Time Roman" w:hAnsi="Time Roman" w:cs="Time Roman"/>
          <w:sz w:val="22"/>
          <w:szCs w:val="22"/>
        </w:rPr>
      </w:pPr>
      <w:r>
        <w:rPr>
          <w:rFonts w:ascii="Time Roman" w:hAnsi="Time Roman" w:cs="Time Roman"/>
          <w:sz w:val="22"/>
          <w:szCs w:val="22"/>
        </w:rPr>
        <w:t xml:space="preserve">4) Развитие розничной торговли и общественного питания: анализ основан на данных организаций, для которых эта деятельность является основной, а также организаций других отраслей экономики, осуществляющих продажу населению потребительских товаров (кулинарной продукции) через собственные торговые заведения (заведения общественного питания) или с оплатой через свою кассу. Оборот розничной торговли, кроме того, включает продажу товаров физическими лицами на вещевых, смешанных и продовольственных рынках. В качестве источника информации используются данные сплошного статистического наблюдения за крупными и средними организациями, а также данные выборочных обследований малых организаций и вещевых, продовольственных и смешанных рынков с распространением полученных показателей на генеральную совокупность. Кроме того, эти показатели корректируются на объемы скрытой деятельности. </w:t>
      </w:r>
    </w:p>
    <w:p w:rsidR="00F6247D" w:rsidRDefault="00F6247D" w:rsidP="00F6247D">
      <w:pPr>
        <w:pStyle w:val="Default"/>
        <w:rPr>
          <w:rFonts w:ascii="Time Roman" w:hAnsi="Time Roman" w:cs="Time Roman"/>
          <w:sz w:val="23"/>
          <w:szCs w:val="23"/>
        </w:rPr>
      </w:pPr>
      <w:r>
        <w:rPr>
          <w:rFonts w:ascii="Time Roman" w:hAnsi="Time Roman" w:cs="Time Roman"/>
          <w:sz w:val="23"/>
          <w:szCs w:val="23"/>
        </w:rPr>
        <w:t xml:space="preserve">В оборот розничной торговли продовольственными товарами включается стоимость проданных населению продуктов питания и алкогольных напитков. Платные услуги населению измеряются суммой денежных средств, уплаченных потребителем за оказанную ему услугу. При этом оплачивать может как сам потребитель, так и организация, в которой он работает, полностью или частично компенсируя или оплачивая расходы по потреблению им услуги. Расчет этого показателя осуществляется на основе данных, полученных от официально зарегистрированных предприятий и подсчета объема услуг, предоставленных физическими лицами. Динамику оборота розничной торговли, продажу отдельных товаров и объема платных услуг характеризуют индексы физического объема, исчисленные путем их сопоставления за отчетный и базисный периоды с учетом снятия инфляционной составляющей с помощью индексов потребительских цен. </w:t>
      </w:r>
    </w:p>
    <w:p w:rsidR="00F6247D" w:rsidRDefault="00F6247D" w:rsidP="00F6247D">
      <w:pPr>
        <w:pStyle w:val="Default"/>
        <w:rPr>
          <w:rFonts w:ascii="Time Roman" w:hAnsi="Time Roman" w:cs="Time Roman"/>
          <w:sz w:val="23"/>
          <w:szCs w:val="23"/>
        </w:rPr>
      </w:pPr>
      <w:r>
        <w:rPr>
          <w:rFonts w:ascii="Time Roman" w:hAnsi="Time Roman" w:cs="Time Roman"/>
          <w:sz w:val="23"/>
          <w:szCs w:val="23"/>
        </w:rPr>
        <w:t xml:space="preserve">5) Развитие жилищно-коммунального хозяйства: основывается на оценках показателей, характеризующих наличие, состав и состояние жилищного фонда, его благоустройство, жилищные условия населения, производственную деятельность предприятий и служб, обеспечивающих население водой, теплом, газом, видами благоустройства, получение жилищных субсидий. </w:t>
      </w:r>
    </w:p>
    <w:p w:rsidR="00F6247D" w:rsidRDefault="00F6247D" w:rsidP="00F6247D">
      <w:pPr>
        <w:pStyle w:val="Default"/>
        <w:rPr>
          <w:rFonts w:ascii="Time Roman" w:hAnsi="Time Roman" w:cs="Time Roman"/>
          <w:sz w:val="22"/>
          <w:szCs w:val="22"/>
        </w:rPr>
      </w:pPr>
      <w:r>
        <w:rPr>
          <w:rFonts w:ascii="Time Roman" w:hAnsi="Time Roman" w:cs="Time Roman"/>
          <w:sz w:val="22"/>
          <w:szCs w:val="22"/>
        </w:rPr>
        <w:t xml:space="preserve">Информационной базой для анализа служат данные статистической отчетности и выборочных обследований, получаемые в целом по стране и ее регионам, по городской и сельской местности, по формам собственности. При этом основная сложность заключается в учете и регулировании в соответствии с федеральным и региональным законодательством и нормативными актами. Показатель численности населения, имеющего право на субсидии по платежам за жилищно-коммунальные услуги с учетом их среднедушевого дохода определяется на основе учета федеральных и региональных стандартов, устанавливающих максимально допустимую долю расходов на жилье и коммунальные услуги в доходах семьи, и определения различных категорий граждан, на которые будут распространяться субсидии. </w:t>
      </w:r>
    </w:p>
    <w:p w:rsidR="00F6247D" w:rsidRDefault="00F6247D" w:rsidP="00F6247D">
      <w:pPr>
        <w:pStyle w:val="Default"/>
        <w:rPr>
          <w:rFonts w:ascii="Time Roman" w:hAnsi="Time Roman" w:cs="Time Roman"/>
          <w:sz w:val="23"/>
          <w:szCs w:val="23"/>
        </w:rPr>
      </w:pPr>
      <w:r>
        <w:rPr>
          <w:rFonts w:ascii="Time Roman" w:hAnsi="Time Roman" w:cs="Time Roman"/>
          <w:sz w:val="23"/>
          <w:szCs w:val="23"/>
        </w:rPr>
        <w:t xml:space="preserve">6) Развитие отрасли здравоохранения: для анализа используются количественные и качественные данные о развитии систем здравоохранения (сеть и деятельность учреждений здравоохранения, их размещение, состояние и оснащенность; врачебный, средний и младший медицинский персонал; заболеваемость по основным классам болезней, смертность по основным классам причин). </w:t>
      </w:r>
    </w:p>
    <w:p w:rsidR="00F6247D" w:rsidRDefault="00F6247D" w:rsidP="00F6247D">
      <w:pPr>
        <w:pStyle w:val="Default"/>
        <w:rPr>
          <w:rFonts w:ascii="Time Roman" w:hAnsi="Time Roman" w:cs="Time Roman"/>
          <w:sz w:val="23"/>
          <w:szCs w:val="23"/>
        </w:rPr>
      </w:pPr>
      <w:r>
        <w:rPr>
          <w:rFonts w:ascii="Time Roman" w:hAnsi="Time Roman" w:cs="Time Roman"/>
          <w:sz w:val="23"/>
          <w:szCs w:val="23"/>
        </w:rPr>
        <w:t xml:space="preserve">На муниципальном уровне рассчитываются показатели: обеспеченность населения больничными учреждениями, амбулаторно-поликлиническими учреждениями, медицинскими кадрами, укомплектованность учреждений медицинскими кадрами, уровень заболеваемости населения. В контингент больных включается совокупность всех больных данной болезнью, обратившихся в амбулаторно-поликлинические учреждения, как в текущем, так и в предыдущие годы и состоящих на учете на конец отчетного года. Степень распространения заболевания представляет собой отношение численности всех </w:t>
      </w:r>
    </w:p>
    <w:p w:rsidR="00F6247D" w:rsidRDefault="00F6247D" w:rsidP="00F6247D">
      <w:pPr>
        <w:pStyle w:val="Default"/>
        <w:pageBreakBefore/>
        <w:rPr>
          <w:rFonts w:ascii="Time Roman" w:hAnsi="Time Roman" w:cs="Time Roman"/>
          <w:sz w:val="23"/>
          <w:szCs w:val="23"/>
        </w:rPr>
      </w:pPr>
      <w:r>
        <w:rPr>
          <w:rFonts w:ascii="Time Roman" w:hAnsi="Time Roman" w:cs="Time Roman"/>
          <w:sz w:val="23"/>
          <w:szCs w:val="23"/>
        </w:rPr>
        <w:lastRenderedPageBreak/>
        <w:t xml:space="preserve">больных данной болезнью, состоящих на учете медицинских учреждений на конец года, к численности постоянного населения на конец года (в расчете на 100 тыс. населения). Разработка данных о заболеваемости населения осуществляется на основе Международной статистической классификации болезней и проблем, связанных со здоровьем. </w:t>
      </w:r>
    </w:p>
    <w:p w:rsidR="00F6247D" w:rsidRDefault="00F6247D" w:rsidP="00F6247D">
      <w:pPr>
        <w:pStyle w:val="Default"/>
        <w:rPr>
          <w:rFonts w:ascii="Time Roman" w:hAnsi="Time Roman" w:cs="Time Roman"/>
          <w:sz w:val="23"/>
          <w:szCs w:val="23"/>
        </w:rPr>
      </w:pPr>
      <w:r>
        <w:rPr>
          <w:rFonts w:ascii="Time Roman" w:hAnsi="Time Roman" w:cs="Time Roman"/>
          <w:sz w:val="23"/>
          <w:szCs w:val="23"/>
        </w:rPr>
        <w:t xml:space="preserve">7) Развитие образования: включает определение показателей, отражающих деятельность дошкольных, общеобразовательных учреждений, а также учреждений начального, среднего, высшего профессионального образования и дополнительного образования. Отчетность содержит информацию о количественных и качественных изменениях по каждому из уровней образования: число учебных заведений, характеристики контингента обучающихся, приема и выпуска специалистов, оценки эффективности процесса обучения, численность и состав преподавательского персонала, характеристики материально-технической базы учебных заведений и т.д. </w:t>
      </w:r>
    </w:p>
    <w:p w:rsidR="00F6247D" w:rsidRDefault="00F6247D" w:rsidP="00F6247D">
      <w:pPr>
        <w:pStyle w:val="Default"/>
        <w:rPr>
          <w:rFonts w:ascii="Time Roman" w:hAnsi="Time Roman" w:cs="Time Roman"/>
          <w:sz w:val="22"/>
          <w:szCs w:val="22"/>
        </w:rPr>
      </w:pPr>
      <w:r>
        <w:rPr>
          <w:rFonts w:ascii="Time Roman" w:hAnsi="Time Roman" w:cs="Time Roman"/>
          <w:sz w:val="22"/>
          <w:szCs w:val="22"/>
        </w:rPr>
        <w:t xml:space="preserve">В численность учащихся, посещающих дневные общеобразовательные учреждения, входят лица, обучающиеся в начальных, основных и средних (полных) общеобразовательных учреждениях, а также обучающиеся в образовательных учреждениях для детей с ограниченными возможностями здоровья. Кроме того, необходимо иметь данные о числе мест в общеобразовательных школах. Показателем качества работы дневных общеобразовательных школ, в частности, служит сменность. Сменность работы школ выражается удельным весом школ, работающих в одну, две, три смены, а также удельным весом численности учащихся, занимающихся в первой, второй и третьей сменах. Наполняемость классов также относится к показателям качества работ общеобразовательных школ. Выпуск специалистов из высших и средних специальных (профессиональных) учебных заведений в расчете на 10 тыс. населения определяется отношением числа выпускников к среднегодовой численности наличного населения данного года. </w:t>
      </w:r>
    </w:p>
    <w:p w:rsidR="00F6247D" w:rsidRDefault="00F6247D" w:rsidP="00F6247D">
      <w:pPr>
        <w:pStyle w:val="Default"/>
        <w:rPr>
          <w:rFonts w:ascii="Time Roman" w:hAnsi="Time Roman" w:cs="Time Roman"/>
          <w:sz w:val="23"/>
          <w:szCs w:val="23"/>
        </w:rPr>
      </w:pPr>
      <w:r>
        <w:rPr>
          <w:rFonts w:ascii="Time Roman" w:hAnsi="Time Roman" w:cs="Time Roman"/>
          <w:sz w:val="23"/>
          <w:szCs w:val="23"/>
        </w:rPr>
        <w:t xml:space="preserve">8) Развитие культуры: базируется на показателях, отражающих работу учреждений культуры и искусства: библиотек, учреждений культуры клубного типа, театров, кинотеатров (киноустановок), музеев, концертных организаций, памятников истории и культуры и т.п. Система показателей характеризует основные направления деятельности этих учреждении, состояние их материально-технической базы, численность и состав работников культуры. Рассчитывается обеспеченность массовыми, общедоступными (публичными) библиотеками, клубными учреждениями и т.д. Аналогичные показатели обеспеченности могут быть рассчитаны отдельно по театрам, кинотеатрам, музеям и др., а также в целом по культурно-досуговым учреждениям муниципального образования. </w:t>
      </w:r>
    </w:p>
    <w:p w:rsidR="00F6247D" w:rsidRDefault="00F6247D" w:rsidP="00F6247D">
      <w:pPr>
        <w:pStyle w:val="Default"/>
        <w:rPr>
          <w:rFonts w:ascii="Time Roman" w:hAnsi="Time Roman" w:cs="Time Roman"/>
          <w:sz w:val="23"/>
          <w:szCs w:val="23"/>
        </w:rPr>
      </w:pPr>
      <w:r>
        <w:rPr>
          <w:rFonts w:ascii="Time Roman" w:hAnsi="Time Roman" w:cs="Time Roman"/>
          <w:sz w:val="23"/>
          <w:szCs w:val="23"/>
        </w:rPr>
        <w:t xml:space="preserve">9) Развитие социальной защиты населения: включает минимальные социальные гарантии, социальное страхование, социальные трансферты, предоставление гражданам льгот, субсидии, дотации, пенсион нос обеспечение, социальная помощь гражданам пожилого возраста, инвалидам (взрослым и детям) и детям, оставшимся без попечения родителей, малообеспеченным семьям. </w:t>
      </w:r>
    </w:p>
    <w:p w:rsidR="00F6247D" w:rsidRDefault="00F6247D" w:rsidP="00F6247D">
      <w:pPr>
        <w:pStyle w:val="Default"/>
        <w:rPr>
          <w:rFonts w:ascii="Time Roman" w:hAnsi="Time Roman" w:cs="Time Roman"/>
          <w:sz w:val="22"/>
          <w:szCs w:val="22"/>
        </w:rPr>
      </w:pPr>
      <w:r>
        <w:rPr>
          <w:rFonts w:ascii="Time Roman" w:hAnsi="Time Roman" w:cs="Time Roman"/>
          <w:sz w:val="22"/>
          <w:szCs w:val="22"/>
        </w:rPr>
        <w:t xml:space="preserve">Основные действующие нормы в области социальной защиты закреплены федеральным и региональным законодательством. На муниципальном уровне отслеживается выполнение законодательства и действующих на их территориях федеральных целевых программ, а также по мере возможностей местного бюджета предусматриваются дополнительные эффективные меры с учетом особенностей условий жизни на местах. Минимальные социальные гарантии - это денежные выплаты, получение которых гарантировано населению государством в случаях, предусмотренных действующим законодательством (минимальные размеры оплаты труда, пенсии, стипендии, пособия). Расчет этих показателей базируется на законодательстве с учетом возможных изменений. </w:t>
      </w:r>
    </w:p>
    <w:p w:rsidR="00F6247D" w:rsidRDefault="00F6247D" w:rsidP="00F6247D">
      <w:pPr>
        <w:pStyle w:val="Default"/>
        <w:rPr>
          <w:rFonts w:ascii="Time Roman" w:hAnsi="Time Roman" w:cs="Time Roman"/>
          <w:sz w:val="23"/>
          <w:szCs w:val="23"/>
        </w:rPr>
      </w:pPr>
      <w:r>
        <w:rPr>
          <w:rFonts w:ascii="Time Roman" w:hAnsi="Time Roman" w:cs="Time Roman"/>
          <w:sz w:val="23"/>
          <w:szCs w:val="23"/>
        </w:rPr>
        <w:t xml:space="preserve">Поступление и расходование средств государственных внебюджетных социальных фондов, источниками которых являются Фонд обязательного медицинского страхования, Фонд социального страхования РФ, Пенсионный фонд РФ, зависит от действующего законодательства и вносимых в него изменении. К социальным трансфертам относится </w:t>
      </w:r>
    </w:p>
    <w:p w:rsidR="00F6247D" w:rsidRDefault="00F6247D" w:rsidP="00F6247D">
      <w:pPr>
        <w:pStyle w:val="Default"/>
        <w:pageBreakBefore/>
        <w:rPr>
          <w:rFonts w:ascii="Time Roman" w:hAnsi="Time Roman" w:cs="Time Roman"/>
          <w:sz w:val="23"/>
          <w:szCs w:val="23"/>
        </w:rPr>
      </w:pPr>
      <w:r>
        <w:rPr>
          <w:rFonts w:ascii="Time Roman" w:hAnsi="Time Roman" w:cs="Time Roman"/>
          <w:sz w:val="23"/>
          <w:szCs w:val="23"/>
        </w:rPr>
        <w:lastRenderedPageBreak/>
        <w:t xml:space="preserve">передача ресурсов, главным образом, в денежной форме, государственными и некоммерческими организациями (благотворительными, профсоюзными, религиозными и т.п.) населению без возмещения или компенсации. К дотациям на оплату жилья и коммунальных услуг относятся предоставляемые гражданам выплаты в соответствии с действующим законодательством в виде льгот и субсидий, а также оплата жилья (ремонта жилья) из средств предприятий и организаций. Субсидии на оплату жилья и коммунальных услуг - адресная социальная помощь, которая предоставляется гражданам органами государственной власти субъектов РФ и органами местного самоуправления в пределах социальной нормы площади жилья и нормативов потребления коммунальных услуг с учетом прожиточного минимума, совокупного дохода и действующих льгот. Льгота по оплате жилья и коммунальных услуг - скидка, предоставляемая в соответствии с действующим законодательством определенным категориям граждан, в том числе совместно с ними проживающим членам их семей (если это предусмотрено соответствующим данной категории граждан законодательством). </w:t>
      </w:r>
    </w:p>
    <w:p w:rsidR="00F6247D" w:rsidRDefault="00F6247D" w:rsidP="00F6247D">
      <w:pPr>
        <w:pStyle w:val="Default"/>
        <w:rPr>
          <w:rFonts w:ascii="Time Roman" w:hAnsi="Time Roman" w:cs="Time Roman"/>
          <w:sz w:val="23"/>
          <w:szCs w:val="23"/>
        </w:rPr>
      </w:pPr>
      <w:r>
        <w:rPr>
          <w:rFonts w:ascii="Time Roman" w:hAnsi="Time Roman" w:cs="Time Roman"/>
          <w:sz w:val="23"/>
          <w:szCs w:val="23"/>
        </w:rPr>
        <w:t xml:space="preserve">Развитие инфраструктуры, связанной с мерами социальной защиты проживающего на территории муниципального образования населения охватывает центры социального обслуживании (в том числе муниципальных), дома-интернаты для престарелых и инвалидов (взрослых), дома-интернаты для детей-инвалидов, отделения социальной помощи на дому, дома ребенка, детские дома, детские дома-школы, дома-интернаты для детей, школы-интернаты общего типа. Контингент граждан, нуждающихся в социальной защите, включает: численность граждан, обслуживаемых в центрах социального обслуживания, состоящих на учете в органах социальной защиты населения (в том числе по категориям - инвалиды, одинокие престарелые граждане и др.), численность инвалидов, прошедших профессиональное обучение. </w:t>
      </w:r>
    </w:p>
    <w:p w:rsidR="00F6247D" w:rsidRDefault="00F6247D" w:rsidP="00F6247D">
      <w:pPr>
        <w:pStyle w:val="Default"/>
        <w:rPr>
          <w:rFonts w:ascii="Time Roman" w:hAnsi="Time Roman" w:cs="Time Roman"/>
          <w:sz w:val="23"/>
          <w:szCs w:val="23"/>
        </w:rPr>
      </w:pPr>
      <w:r>
        <w:rPr>
          <w:rFonts w:ascii="Time Roman" w:hAnsi="Time Roman" w:cs="Time Roman"/>
          <w:sz w:val="23"/>
          <w:szCs w:val="23"/>
        </w:rPr>
        <w:t xml:space="preserve">10) Состояние окружающей среды: анализ проводится по видам экологических систем с акцентом на возможности сохранения, восстановления, улучшения земли, ее недр, поверхностных и подземных вод, атмосферного воздуха, лесов, животного мира, природных заповедников и национальных пар ков. Учитываются участие в целевых программах федерального и регионального уровня, дополнительные мероприятия, проводимые на муниципальном уровне. Оценка проводится по следующим показателям: </w:t>
      </w:r>
    </w:p>
    <w:p w:rsidR="00F6247D" w:rsidRDefault="00F6247D" w:rsidP="00F6247D">
      <w:pPr>
        <w:pStyle w:val="Default"/>
        <w:rPr>
          <w:rFonts w:ascii="Time Roman" w:hAnsi="Time Roman" w:cs="Time Roman"/>
          <w:sz w:val="23"/>
          <w:szCs w:val="23"/>
        </w:rPr>
      </w:pPr>
      <w:r>
        <w:rPr>
          <w:rFonts w:ascii="Time Roman" w:hAnsi="Time Roman" w:cs="Time Roman"/>
          <w:sz w:val="23"/>
          <w:szCs w:val="23"/>
        </w:rPr>
        <w:t xml:space="preserve">- выброс в атмосферу загрязняющих веществ - поступление в атмосферный воздух загрязняющих (оказывающих неблагоприятное действие на здоровье или деятельность населения, на окружающую природную среду) веществ от стационарных или передвижных источников выбросов. Учет выбросов загрязняющих атмосферу веществ ведется как по веществам в разном агрегатном состоянии, так и по отдельным веществам (ингредиентам); </w:t>
      </w:r>
    </w:p>
    <w:p w:rsidR="00F6247D" w:rsidRDefault="00F6247D" w:rsidP="00F6247D">
      <w:pPr>
        <w:pStyle w:val="Default"/>
        <w:rPr>
          <w:rFonts w:ascii="Time Roman" w:hAnsi="Time Roman" w:cs="Time Roman"/>
          <w:sz w:val="23"/>
          <w:szCs w:val="23"/>
        </w:rPr>
      </w:pPr>
      <w:r>
        <w:rPr>
          <w:rFonts w:ascii="Time Roman" w:hAnsi="Time Roman" w:cs="Time Roman"/>
          <w:sz w:val="23"/>
          <w:szCs w:val="23"/>
        </w:rPr>
        <w:t xml:space="preserve">- объем водопотребления - использование водных ресурсов (включая морскую воду), забранных из различных источников для удовлетворения хозяйственных нужд. Сюда не включается оборотное водопотребление, а также повторное использование сточной и коллекторно-дренажной воды; </w:t>
      </w:r>
    </w:p>
    <w:p w:rsidR="00F6247D" w:rsidRDefault="00F6247D" w:rsidP="00F6247D">
      <w:pPr>
        <w:pStyle w:val="Default"/>
        <w:rPr>
          <w:rFonts w:ascii="Time Roman" w:hAnsi="Time Roman" w:cs="Time Roman"/>
          <w:sz w:val="23"/>
          <w:szCs w:val="23"/>
        </w:rPr>
      </w:pPr>
      <w:r>
        <w:rPr>
          <w:rFonts w:ascii="Time Roman" w:hAnsi="Time Roman" w:cs="Time Roman"/>
          <w:sz w:val="23"/>
          <w:szCs w:val="23"/>
        </w:rPr>
        <w:t xml:space="preserve">- оборотное и последовательное использование воды - объем экономии забора свежей воды за счет применения систем оборотного и повторного водоснабжения, и включая использование сточной и коллекторно-дренажной воды. К оборотному использованию не относится расход воды в системах коммунального и производственного теплоснабжения; </w:t>
      </w:r>
    </w:p>
    <w:p w:rsidR="00F6247D" w:rsidRDefault="00F6247D" w:rsidP="00F6247D">
      <w:pPr>
        <w:pStyle w:val="Default"/>
        <w:rPr>
          <w:rFonts w:ascii="Time Roman" w:hAnsi="Time Roman" w:cs="Time Roman"/>
          <w:sz w:val="23"/>
          <w:szCs w:val="23"/>
        </w:rPr>
      </w:pPr>
      <w:r>
        <w:rPr>
          <w:rFonts w:ascii="Time Roman" w:hAnsi="Time Roman" w:cs="Time Roman"/>
          <w:sz w:val="23"/>
          <w:szCs w:val="23"/>
        </w:rPr>
        <w:t xml:space="preserve">- объем сброса загрязненных сточных вод - производственных и бытовых (коммунальных) стоков, сброшенных в поверхностные водные объекты без очистки (или после недостаточной очистки) и содержащих загрязняющие вещества в количествах, превышающих утвержденный предельно-допустимый сброс. Сюда не включаются коллекторно-дренажные воды, отводимые с орошаемых земель после полива; </w:t>
      </w:r>
    </w:p>
    <w:p w:rsidR="00F6247D" w:rsidRDefault="00F6247D" w:rsidP="00F6247D">
      <w:pPr>
        <w:pStyle w:val="Default"/>
        <w:rPr>
          <w:rFonts w:ascii="Time Roman" w:hAnsi="Time Roman" w:cs="Time Roman"/>
          <w:sz w:val="23"/>
          <w:szCs w:val="23"/>
        </w:rPr>
      </w:pPr>
      <w:r>
        <w:rPr>
          <w:rFonts w:ascii="Time Roman" w:hAnsi="Time Roman" w:cs="Time Roman"/>
          <w:sz w:val="23"/>
          <w:szCs w:val="23"/>
        </w:rPr>
        <w:t xml:space="preserve">- очистка сточных вод - обработка сточных вод в целях извлечения, удаления, нейтрализации содержащихся в них загрязняющих примесей до установленных нормативов. Для очистки сточных вод применяют различные методы: механический, физико-химический, биологический. </w:t>
      </w:r>
    </w:p>
    <w:p w:rsidR="00F6247D" w:rsidRDefault="00F6247D" w:rsidP="00F6247D">
      <w:pPr>
        <w:pStyle w:val="Default"/>
        <w:pageBreakBefore/>
        <w:rPr>
          <w:rFonts w:ascii="Time Roman" w:hAnsi="Time Roman" w:cs="Time Roman"/>
          <w:sz w:val="23"/>
          <w:szCs w:val="23"/>
        </w:rPr>
      </w:pPr>
      <w:r>
        <w:rPr>
          <w:rFonts w:ascii="Time Roman" w:hAnsi="Time Roman" w:cs="Time Roman"/>
          <w:sz w:val="23"/>
          <w:szCs w:val="23"/>
        </w:rPr>
        <w:lastRenderedPageBreak/>
        <w:t xml:space="preserve">11) Инвестиционный потенциал муниципального образования: оценка проводится по направлениям и секторам экономики (динамика ввода основных фондов, источники инвестиций, характеристика инвестиционной активности промышленных предприятии и других субъектов хозяйственной деятельности и т.д.), анализируются также и тенденции в инвестиционной сфере. При этом учитываются реальные возможности муниципального образования в инвестиционной сфере, а также роль федеральных, региональных и местных инвестиционных программ. Масштабы инвестиционной деятельности анализируются по направлениям, источникам инвестиционных средств (из собственных средств предприятий, находящихся на территории муниципального образования, средств местного бюджета, средств бюджетов других уровней, внебюджетных фондов, заемных и прочих источников), инвестиционным намерениям предпринимателей. </w:t>
      </w:r>
    </w:p>
    <w:p w:rsidR="00F6247D" w:rsidRDefault="00F6247D" w:rsidP="00F6247D">
      <w:pPr>
        <w:pStyle w:val="Default"/>
        <w:rPr>
          <w:rFonts w:ascii="Time Roman" w:hAnsi="Time Roman" w:cs="Time Roman"/>
          <w:sz w:val="23"/>
          <w:szCs w:val="23"/>
        </w:rPr>
      </w:pPr>
      <w:r>
        <w:rPr>
          <w:rFonts w:ascii="Time Roman" w:hAnsi="Time Roman" w:cs="Time Roman"/>
          <w:sz w:val="23"/>
          <w:szCs w:val="23"/>
        </w:rPr>
        <w:t xml:space="preserve">Для оценки совокупного инвестиционного ресурса как предельной суммы собственных средств муниципального образования, направляемых на воспроизводство основного капитала, помимо амортизации необходимо учесть часть инвестируемой прибыли, затраты на текущий и капитальный ремонт основных средств. Источником информации может служить форма федерального государственного статистического наблюдения «Сведения о затратах на производство и реализацию продукции (работ, услуг)». </w:t>
      </w:r>
    </w:p>
    <w:p w:rsidR="00F6247D" w:rsidRDefault="00F6247D" w:rsidP="00F6247D">
      <w:pPr>
        <w:pStyle w:val="Default"/>
        <w:rPr>
          <w:rFonts w:ascii="Time Roman" w:hAnsi="Time Roman" w:cs="Time Roman"/>
          <w:sz w:val="23"/>
          <w:szCs w:val="23"/>
        </w:rPr>
      </w:pPr>
      <w:r>
        <w:rPr>
          <w:rFonts w:ascii="Time Roman" w:hAnsi="Time Roman" w:cs="Time Roman"/>
          <w:sz w:val="23"/>
          <w:szCs w:val="23"/>
        </w:rPr>
        <w:t xml:space="preserve">Оценки реальных ресурсов на муниципальном уровне (в части формируемых за счет амортизационных средств), которые могут быть использованы в качестве собственных инвестиционных ресурсов для воспроизводства основного капитала, базируются на информации статистического наблюдения с обязательным дополнением анализа незавершенного строительства, степени готовности строительного задела и инвестиционных программ потенциальных инвесторов (целевых программ различных уровней). В развитии муниципального образования определяющую роль играют финансовые ограничения. </w:t>
      </w:r>
    </w:p>
    <w:p w:rsidR="00F6247D" w:rsidRDefault="00F6247D" w:rsidP="00F6247D">
      <w:pPr>
        <w:pStyle w:val="Default"/>
        <w:rPr>
          <w:rFonts w:ascii="Time Roman" w:hAnsi="Time Roman" w:cs="Time Roman"/>
          <w:sz w:val="23"/>
          <w:szCs w:val="23"/>
        </w:rPr>
      </w:pPr>
      <w:r>
        <w:rPr>
          <w:rFonts w:ascii="Time Roman" w:hAnsi="Time Roman" w:cs="Time Roman"/>
          <w:sz w:val="23"/>
          <w:szCs w:val="23"/>
        </w:rPr>
        <w:t xml:space="preserve">12) Финансовое положение муниципального образования: рассматриваются показатели: </w:t>
      </w:r>
    </w:p>
    <w:p w:rsidR="00F6247D" w:rsidRDefault="00F6247D" w:rsidP="00F6247D">
      <w:pPr>
        <w:pStyle w:val="Default"/>
        <w:rPr>
          <w:rFonts w:ascii="Time Roman" w:hAnsi="Time Roman" w:cs="Time Roman"/>
          <w:sz w:val="23"/>
          <w:szCs w:val="23"/>
        </w:rPr>
      </w:pPr>
      <w:r>
        <w:rPr>
          <w:rFonts w:ascii="Time Roman" w:hAnsi="Time Roman" w:cs="Time Roman"/>
          <w:sz w:val="23"/>
          <w:szCs w:val="23"/>
        </w:rPr>
        <w:t xml:space="preserve">- динамика валового муниципального продукта с учетом темпов инфляции; </w:t>
      </w:r>
    </w:p>
    <w:p w:rsidR="00F6247D" w:rsidRDefault="00F6247D" w:rsidP="00F6247D">
      <w:pPr>
        <w:pStyle w:val="Default"/>
        <w:rPr>
          <w:rFonts w:ascii="Time Roman" w:hAnsi="Time Roman" w:cs="Time Roman"/>
          <w:sz w:val="23"/>
          <w:szCs w:val="23"/>
        </w:rPr>
      </w:pPr>
      <w:r>
        <w:rPr>
          <w:rFonts w:ascii="Time Roman" w:hAnsi="Time Roman" w:cs="Time Roman"/>
          <w:sz w:val="23"/>
          <w:szCs w:val="23"/>
        </w:rPr>
        <w:t xml:space="preserve">- структура доходов и расходов местного бюджета; </w:t>
      </w:r>
    </w:p>
    <w:p w:rsidR="00F6247D" w:rsidRDefault="00F6247D" w:rsidP="00F6247D">
      <w:pPr>
        <w:pStyle w:val="Default"/>
        <w:rPr>
          <w:rFonts w:ascii="Time Roman" w:hAnsi="Time Roman" w:cs="Time Roman"/>
          <w:sz w:val="23"/>
          <w:szCs w:val="23"/>
        </w:rPr>
      </w:pPr>
      <w:r>
        <w:rPr>
          <w:rFonts w:ascii="Time Roman" w:hAnsi="Time Roman" w:cs="Time Roman"/>
          <w:sz w:val="23"/>
          <w:szCs w:val="23"/>
        </w:rPr>
        <w:t xml:space="preserve">- сбалансированность местного бюджета; </w:t>
      </w:r>
    </w:p>
    <w:p w:rsidR="00F6247D" w:rsidRDefault="00F6247D" w:rsidP="00F6247D">
      <w:pPr>
        <w:pStyle w:val="Default"/>
        <w:rPr>
          <w:rFonts w:ascii="Time Roman" w:hAnsi="Time Roman" w:cs="Time Roman"/>
          <w:sz w:val="23"/>
          <w:szCs w:val="23"/>
        </w:rPr>
      </w:pPr>
      <w:r>
        <w:rPr>
          <w:rFonts w:ascii="Time Roman" w:hAnsi="Time Roman" w:cs="Time Roman"/>
          <w:sz w:val="23"/>
          <w:szCs w:val="23"/>
        </w:rPr>
        <w:t xml:space="preserve">- степень дотационности и зависимости бюджета муниципального образования от финансовой помощи из бюджетов вышестоящих органов власти. </w:t>
      </w:r>
    </w:p>
    <w:p w:rsidR="00F6247D" w:rsidRDefault="00F6247D" w:rsidP="00F6247D">
      <w:pPr>
        <w:pStyle w:val="Default"/>
        <w:rPr>
          <w:rFonts w:ascii="Time Roman" w:hAnsi="Time Roman" w:cs="Time Roman"/>
          <w:sz w:val="23"/>
          <w:szCs w:val="23"/>
        </w:rPr>
      </w:pPr>
      <w:r>
        <w:rPr>
          <w:rFonts w:ascii="Time Roman" w:hAnsi="Time Roman" w:cs="Time Roman"/>
          <w:sz w:val="23"/>
          <w:szCs w:val="23"/>
        </w:rPr>
        <w:t xml:space="preserve">На основании анализа можно выделить следующие группы муниципалитетов: самодостаточные - покрывают свои расходные обязательства полностью за счет собственных доходных источников, высокие темпы роста валового муниципального продукта; дотационные - получают финансовую помощь из бюджетов других уровней на покрытие своих расходных обязательств; нет просроченной задолженности; муниципальный продукт в реальном выражении растет; депрессивные - большая часть бюджетных доходов формируется за счет финансовой помощи бюджетов других уровней; есть просроченная кредиторская задолженность; муниципальный продукт в реальном выражении уменьшается. </w:t>
      </w:r>
    </w:p>
    <w:p w:rsidR="00F6247D" w:rsidRDefault="00F6247D" w:rsidP="00F6247D">
      <w:pPr>
        <w:pStyle w:val="Default"/>
        <w:rPr>
          <w:rFonts w:ascii="Time Roman" w:hAnsi="Time Roman" w:cs="Time Roman"/>
          <w:sz w:val="23"/>
          <w:szCs w:val="23"/>
        </w:rPr>
      </w:pPr>
      <w:r>
        <w:rPr>
          <w:rFonts w:ascii="Time Roman" w:hAnsi="Time Roman" w:cs="Time Roman"/>
          <w:sz w:val="23"/>
          <w:szCs w:val="23"/>
        </w:rPr>
        <w:t xml:space="preserve">В результате анализа предлагаются выводы о способности муниципального образования к устойчивому экономическому развитию; созданию благоприятных условий для жизнедеятельности населения и развития предпринимательства; возможности гарантировать социальные стандарты на уровне нормативов финансовых затрат. В целях учета мнения населения по наиболее актуальным проблемам уровня и качества жизни в конкретном муниципальном образовании могут использоваться результаты социологических исследований. </w:t>
      </w:r>
    </w:p>
    <w:p w:rsidR="00F6247D" w:rsidRDefault="00F6247D" w:rsidP="00F6247D">
      <w:pPr>
        <w:pStyle w:val="Default"/>
        <w:pageBreakBefore/>
        <w:rPr>
          <w:rFonts w:ascii="Time Roman" w:hAnsi="Time Roman" w:cs="Time Roman"/>
          <w:sz w:val="23"/>
          <w:szCs w:val="23"/>
        </w:rPr>
      </w:pPr>
    </w:p>
    <w:p w:rsidR="00F6247D" w:rsidRDefault="00F6247D" w:rsidP="00F6247D">
      <w:pPr>
        <w:pStyle w:val="Default"/>
        <w:rPr>
          <w:sz w:val="23"/>
          <w:szCs w:val="23"/>
        </w:rPr>
      </w:pPr>
      <w:r>
        <w:rPr>
          <w:b/>
          <w:bCs/>
          <w:sz w:val="23"/>
          <w:szCs w:val="23"/>
        </w:rPr>
        <w:t xml:space="preserve">2. Критерии оценки </w:t>
      </w:r>
    </w:p>
    <w:p w:rsidR="00F6247D" w:rsidRDefault="00F6247D" w:rsidP="00F6247D">
      <w:pPr>
        <w:pStyle w:val="Default"/>
        <w:rPr>
          <w:sz w:val="23"/>
          <w:szCs w:val="23"/>
        </w:rPr>
      </w:pPr>
    </w:p>
    <w:p w:rsidR="00F6247D" w:rsidRDefault="00F6247D" w:rsidP="00F6247D">
      <w:pPr>
        <w:pStyle w:val="Default"/>
        <w:rPr>
          <w:sz w:val="23"/>
          <w:szCs w:val="23"/>
        </w:rPr>
      </w:pPr>
      <w:r>
        <w:rPr>
          <w:sz w:val="23"/>
          <w:szCs w:val="23"/>
        </w:rPr>
        <w:t xml:space="preserve">Каждое задание контрольной работы оценивается в соответствии с приведенными ниже критериями. </w:t>
      </w:r>
    </w:p>
    <w:p w:rsidR="00F6247D" w:rsidRDefault="00F6247D" w:rsidP="00F6247D">
      <w:pPr>
        <w:pStyle w:val="Default"/>
        <w:rPr>
          <w:sz w:val="23"/>
          <w:szCs w:val="23"/>
        </w:rPr>
      </w:pPr>
      <w:r>
        <w:rPr>
          <w:sz w:val="23"/>
          <w:szCs w:val="23"/>
        </w:rPr>
        <w:t xml:space="preserve">Контрольная работа считается </w:t>
      </w:r>
      <w:r>
        <w:rPr>
          <w:b/>
          <w:bCs/>
          <w:sz w:val="23"/>
          <w:szCs w:val="23"/>
        </w:rPr>
        <w:t xml:space="preserve">невыполненной, </w:t>
      </w:r>
      <w:r>
        <w:rPr>
          <w:sz w:val="23"/>
          <w:szCs w:val="23"/>
        </w:rPr>
        <w:t xml:space="preserve">если работа слабая, уровень выполнения не отвечает требованиям, работа демонстрирует, что практические навыки работы с освоенным материалом не сформированы, качество выполнения предложенного задания низкое, работа содержит грубые ошибки и не удовлетворяет минимальным требованиям к освоению дисциплины. Оценка составляет </w:t>
      </w:r>
      <w:r>
        <w:rPr>
          <w:b/>
          <w:bCs/>
          <w:sz w:val="23"/>
          <w:szCs w:val="23"/>
        </w:rPr>
        <w:t xml:space="preserve">0-9 </w:t>
      </w:r>
      <w:r>
        <w:rPr>
          <w:sz w:val="23"/>
          <w:szCs w:val="23"/>
        </w:rPr>
        <w:t xml:space="preserve">баллов. </w:t>
      </w:r>
    </w:p>
    <w:p w:rsidR="00F6247D" w:rsidRDefault="00F6247D" w:rsidP="00F6247D">
      <w:pPr>
        <w:pStyle w:val="Default"/>
        <w:rPr>
          <w:sz w:val="23"/>
          <w:szCs w:val="23"/>
        </w:rPr>
      </w:pPr>
      <w:r>
        <w:rPr>
          <w:sz w:val="23"/>
          <w:szCs w:val="23"/>
        </w:rPr>
        <w:t xml:space="preserve">Работа выполнена на </w:t>
      </w:r>
      <w:r>
        <w:rPr>
          <w:b/>
          <w:bCs/>
          <w:sz w:val="23"/>
          <w:szCs w:val="23"/>
        </w:rPr>
        <w:t xml:space="preserve">пороговом </w:t>
      </w:r>
      <w:r>
        <w:rPr>
          <w:sz w:val="23"/>
          <w:szCs w:val="23"/>
        </w:rPr>
        <w:t xml:space="preserve">уровне, если работа слабая, уровень выполнения не отвечает большинству требований, работа демонстрирует, что некоторые практические навыки работы с освоенным материалом не сформированы, качество выполнения предложенного задания низкое, работа содержит грубые ошибки, однако удовлетворяет минимальным требованиям к освоению дисциплины. Оценка составляет </w:t>
      </w:r>
      <w:r>
        <w:rPr>
          <w:b/>
          <w:bCs/>
          <w:sz w:val="23"/>
          <w:szCs w:val="23"/>
        </w:rPr>
        <w:t xml:space="preserve">10-14 </w:t>
      </w:r>
      <w:r>
        <w:rPr>
          <w:sz w:val="23"/>
          <w:szCs w:val="23"/>
        </w:rPr>
        <w:t xml:space="preserve">баллов. </w:t>
      </w:r>
    </w:p>
    <w:p w:rsidR="00F6247D" w:rsidRDefault="00F6247D" w:rsidP="00F6247D">
      <w:pPr>
        <w:pStyle w:val="Default"/>
        <w:rPr>
          <w:sz w:val="23"/>
          <w:szCs w:val="23"/>
        </w:rPr>
      </w:pPr>
      <w:r>
        <w:rPr>
          <w:sz w:val="23"/>
          <w:szCs w:val="23"/>
        </w:rPr>
        <w:t xml:space="preserve">Работа выполнена на </w:t>
      </w:r>
      <w:r>
        <w:rPr>
          <w:b/>
          <w:bCs/>
          <w:sz w:val="23"/>
          <w:szCs w:val="23"/>
        </w:rPr>
        <w:t xml:space="preserve">базовом </w:t>
      </w:r>
      <w:r>
        <w:rPr>
          <w:sz w:val="23"/>
          <w:szCs w:val="23"/>
        </w:rPr>
        <w:t xml:space="preserve">уровне, если задание выполнено хорошо, уровень выполнения отвечает большинству требований, однако работа демонстрирует, что некоторые практические навыки сформированы недостаточно, предложенное задание в основной части выполнено верно, однако имеются существенные замечания к работе. Оценка составляет </w:t>
      </w:r>
      <w:r>
        <w:rPr>
          <w:b/>
          <w:bCs/>
          <w:sz w:val="23"/>
          <w:szCs w:val="23"/>
        </w:rPr>
        <w:t xml:space="preserve">15-17 </w:t>
      </w:r>
      <w:r>
        <w:rPr>
          <w:sz w:val="23"/>
          <w:szCs w:val="23"/>
        </w:rPr>
        <w:t xml:space="preserve">баллов. </w:t>
      </w:r>
    </w:p>
    <w:p w:rsidR="00F6247D" w:rsidRDefault="00F6247D" w:rsidP="00F6247D">
      <w:pPr>
        <w:pStyle w:val="Default"/>
        <w:rPr>
          <w:sz w:val="23"/>
          <w:szCs w:val="23"/>
        </w:rPr>
      </w:pPr>
      <w:r>
        <w:rPr>
          <w:sz w:val="23"/>
          <w:szCs w:val="23"/>
        </w:rPr>
        <w:t xml:space="preserve">Работа считается выполненной </w:t>
      </w:r>
      <w:r>
        <w:rPr>
          <w:b/>
          <w:bCs/>
          <w:sz w:val="23"/>
          <w:szCs w:val="23"/>
        </w:rPr>
        <w:t xml:space="preserve">на продвинутом </w:t>
      </w:r>
      <w:r>
        <w:rPr>
          <w:sz w:val="23"/>
          <w:szCs w:val="23"/>
        </w:rPr>
        <w:t xml:space="preserve">уровне, если задание выполнено качественно, уровень выполнения отвечает всем требованиям, работа демонстрирует необходимые практические навыки, предложенное задание выполнено полностью, безукоризненно, либо имеющиеся недочеты крайне незначительны. Оценка составляет </w:t>
      </w:r>
      <w:r>
        <w:rPr>
          <w:b/>
          <w:bCs/>
          <w:sz w:val="23"/>
          <w:szCs w:val="23"/>
        </w:rPr>
        <w:t xml:space="preserve">18-20 </w:t>
      </w:r>
      <w:r>
        <w:rPr>
          <w:sz w:val="23"/>
          <w:szCs w:val="23"/>
        </w:rPr>
        <w:t xml:space="preserve">баллов. </w:t>
      </w:r>
    </w:p>
    <w:p w:rsidR="00F6247D" w:rsidRDefault="00F6247D" w:rsidP="00F6247D">
      <w:pPr>
        <w:pStyle w:val="Default"/>
        <w:rPr>
          <w:sz w:val="23"/>
          <w:szCs w:val="23"/>
        </w:rPr>
      </w:pPr>
      <w:r>
        <w:rPr>
          <w:b/>
          <w:bCs/>
          <w:sz w:val="23"/>
          <w:szCs w:val="23"/>
        </w:rPr>
        <w:t xml:space="preserve">3. Шкала оценки </w:t>
      </w:r>
    </w:p>
    <w:p w:rsidR="00F6247D" w:rsidRDefault="00F6247D" w:rsidP="00F6247D">
      <w:pPr>
        <w:pStyle w:val="Default"/>
        <w:rPr>
          <w:sz w:val="23"/>
          <w:szCs w:val="23"/>
        </w:rPr>
      </w:pPr>
    </w:p>
    <w:p w:rsidR="00F6247D" w:rsidRDefault="00F6247D" w:rsidP="00F6247D">
      <w:pPr>
        <w:pStyle w:val="Default"/>
        <w:rPr>
          <w:sz w:val="23"/>
          <w:szCs w:val="23"/>
        </w:rPr>
      </w:pPr>
      <w:r>
        <w:rPr>
          <w:sz w:val="23"/>
          <w:szCs w:val="23"/>
        </w:rPr>
        <w:t xml:space="preserve">В общей оценке по дисциплине баллы за контрольную работу учитываются в соответствии с правилами балльно-рейтинговой системы, приведенными в рабочей программе дисциплины. </w:t>
      </w:r>
    </w:p>
    <w:p w:rsidR="00F6247D" w:rsidRDefault="00F6247D" w:rsidP="00F6247D">
      <w:pPr>
        <w:pStyle w:val="Default"/>
        <w:rPr>
          <w:sz w:val="23"/>
          <w:szCs w:val="23"/>
        </w:rPr>
      </w:pPr>
      <w:r>
        <w:rPr>
          <w:b/>
          <w:bCs/>
          <w:sz w:val="23"/>
          <w:szCs w:val="23"/>
        </w:rPr>
        <w:t xml:space="preserve">4. Пример варианта контрольной работы </w:t>
      </w:r>
    </w:p>
    <w:p w:rsidR="00F6247D" w:rsidRDefault="00F6247D" w:rsidP="00F6247D">
      <w:pPr>
        <w:pStyle w:val="Default"/>
        <w:rPr>
          <w:sz w:val="23"/>
          <w:szCs w:val="23"/>
        </w:rPr>
      </w:pPr>
    </w:p>
    <w:p w:rsidR="00490707" w:rsidRPr="003C18F7" w:rsidRDefault="00F6247D" w:rsidP="00F6247D">
      <w:pPr>
        <w:jc w:val="center"/>
        <w:rPr>
          <w:sz w:val="24"/>
          <w:szCs w:val="24"/>
        </w:rPr>
      </w:pPr>
      <w:r>
        <w:rPr>
          <w:sz w:val="23"/>
          <w:szCs w:val="23"/>
        </w:rPr>
        <w:t xml:space="preserve">Проведите оценку </w:t>
      </w:r>
      <w:r>
        <w:rPr>
          <w:rFonts w:ascii="Time Roman" w:hAnsi="Time Roman" w:cs="Time Roman"/>
          <w:sz w:val="23"/>
          <w:szCs w:val="23"/>
        </w:rPr>
        <w:t xml:space="preserve">развития отраслей материального производства </w:t>
      </w:r>
      <w:r>
        <w:rPr>
          <w:sz w:val="23"/>
          <w:szCs w:val="23"/>
        </w:rPr>
        <w:t>муниципального образования (муниципальное образование выбирается студентом самостоятельно с учетом предполагаемого места практики и темы дипломной работы</w:t>
      </w:r>
    </w:p>
    <w:sectPr w:rsidR="00490707" w:rsidRPr="003C18F7" w:rsidSect="00A136D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766" w:rsidRDefault="005A6766" w:rsidP="00F6247D">
      <w:pPr>
        <w:spacing w:after="0" w:line="240" w:lineRule="auto"/>
      </w:pPr>
      <w:r>
        <w:separator/>
      </w:r>
    </w:p>
  </w:endnote>
  <w:endnote w:type="continuationSeparator" w:id="1">
    <w:p w:rsidR="005A6766" w:rsidRDefault="005A6766" w:rsidP="00F624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 Roman">
    <w:altName w:val="Time Roman"/>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766" w:rsidRDefault="005A6766" w:rsidP="00F6247D">
      <w:pPr>
        <w:spacing w:after="0" w:line="240" w:lineRule="auto"/>
      </w:pPr>
      <w:r>
        <w:separator/>
      </w:r>
    </w:p>
  </w:footnote>
  <w:footnote w:type="continuationSeparator" w:id="1">
    <w:p w:rsidR="005A6766" w:rsidRDefault="005A6766" w:rsidP="00F624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51269E"/>
    <w:multiLevelType w:val="hybridMultilevel"/>
    <w:tmpl w:val="B07C1E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39F070B"/>
    <w:multiLevelType w:val="hybridMultilevel"/>
    <w:tmpl w:val="723F94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25ED173"/>
    <w:multiLevelType w:val="hybridMultilevel"/>
    <w:tmpl w:val="AED268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555E25D"/>
    <w:multiLevelType w:val="hybridMultilevel"/>
    <w:tmpl w:val="409DE0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C18F7"/>
    <w:rsid w:val="003C18F7"/>
    <w:rsid w:val="00490707"/>
    <w:rsid w:val="005A6766"/>
    <w:rsid w:val="00A136DF"/>
    <w:rsid w:val="00F624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6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C18F7"/>
    <w:pPr>
      <w:widowControl w:val="0"/>
      <w:snapToGrid w:val="0"/>
      <w:spacing w:after="0" w:line="240" w:lineRule="auto"/>
      <w:ind w:firstLine="720"/>
    </w:pPr>
    <w:rPr>
      <w:rFonts w:ascii="Arial" w:eastAsia="Times New Roman" w:hAnsi="Arial" w:cs="Times New Roman"/>
      <w:sz w:val="20"/>
      <w:szCs w:val="20"/>
    </w:rPr>
  </w:style>
  <w:style w:type="paragraph" w:styleId="a3">
    <w:name w:val="header"/>
    <w:basedOn w:val="a"/>
    <w:link w:val="a4"/>
    <w:uiPriority w:val="99"/>
    <w:semiHidden/>
    <w:unhideWhenUsed/>
    <w:rsid w:val="00F6247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6247D"/>
  </w:style>
  <w:style w:type="paragraph" w:styleId="a5">
    <w:name w:val="footer"/>
    <w:basedOn w:val="a"/>
    <w:link w:val="a6"/>
    <w:uiPriority w:val="99"/>
    <w:semiHidden/>
    <w:unhideWhenUsed/>
    <w:rsid w:val="00F6247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6247D"/>
  </w:style>
  <w:style w:type="paragraph" w:customStyle="1" w:styleId="Default">
    <w:name w:val="Default"/>
    <w:rsid w:val="00F6247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0275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3705</Words>
  <Characters>21120</Characters>
  <Application>Microsoft Office Word</Application>
  <DocSecurity>0</DocSecurity>
  <Lines>176</Lines>
  <Paragraphs>49</Paragraphs>
  <ScaleCrop>false</ScaleCrop>
  <Company/>
  <LinksUpToDate>false</LinksUpToDate>
  <CharactersWithSpaces>24776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2018-05-04T16:48:00Z</dcterms:created>
  <dcterms:modified xsi:type="dcterms:W3CDTF">2018-05-06T07:59:00Z</dcterms:modified>
</cp:coreProperties>
</file>