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ED" w:rsidRDefault="006528ED" w:rsidP="006528ED">
      <w:pPr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1</w:t>
      </w:r>
      <w:r>
        <w:t>.</w:t>
      </w:r>
      <w:r w:rsidRPr="006528ED"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Динамика и развитие экосистем. Сукцессии, виды сукцессий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Pr="006528ED">
        <w:rPr>
          <w:rFonts w:ascii="Times New Roman" w:hAnsi="Times New Roman" w:cs="Times New Roman"/>
          <w:sz w:val="28"/>
          <w:szCs w:val="28"/>
        </w:rPr>
        <w:t xml:space="preserve"> Основные источники антропогенного шума. Шумовое воздействие на организмы. Сила звука, при которой уровень шума считается для человека недопустимым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3.</w:t>
      </w:r>
      <w:r w:rsidRPr="006528ED">
        <w:rPr>
          <w:rFonts w:ascii="Times New Roman" w:hAnsi="Times New Roman" w:cs="Times New Roman"/>
          <w:sz w:val="28"/>
          <w:szCs w:val="28"/>
        </w:rPr>
        <w:t xml:space="preserve"> Показатели качества природных и сточных вод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4.</w:t>
      </w:r>
      <w:r w:rsidRPr="006528ED"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Оцените качество воды в водоеме культурно-бытового назначения, если известно, что проба воды содержит ДДТ концентрацией 0,066 мг/л и фреон-12 концентрацией 3,41мг/м3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5.</w:t>
      </w:r>
      <w:r w:rsidRPr="006528ED"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. Определить какая масса свинца будет выброшена в атмосферу города за месяц автомашинами таксопарка, имеющего 150 автомобилей Волга. Известно, что за сутки один автомобиль проходит 400 км и расходует 15л бензина на 100 км пробега. Содержание свинца в топливе составляет 0,41 г/кг. Плотность бензина – 0,73 г/см3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65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1C"/>
    <w:rsid w:val="004B071C"/>
    <w:rsid w:val="006528ED"/>
    <w:rsid w:val="009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2018-06-21T12:33:00Z</dcterms:created>
  <dcterms:modified xsi:type="dcterms:W3CDTF">2018-06-21T12:39:00Z</dcterms:modified>
</cp:coreProperties>
</file>